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ARIZONA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Arizona</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Arizona law:</w:t>
      </w:r>
    </w:p>
    <w:p>
      <w:r>
        <w:t>(a) AZ Seller's Property Disclosure Statement (SPDS) — industry standard;</w:t>
      </w:r>
    </w:p>
    <w:p>
      <w:r>
        <w:t>(b) Lead-Based Paint Disclosure (federal — for properties built before 1978);</w:t>
      </w:r>
    </w:p>
    <w:p>
      <w:r>
        <w:t>(c) HOA documents (if applicable);</w:t>
      </w:r>
    </w:p>
    <w:p>
      <w:r>
        <w:t>(d) Material defect disclosures known to Seller;</w:t>
      </w:r>
    </w:p>
    <w:p>
      <w:r>
        <w:t>(e) Other disclosures required by Arizona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Arizona agency disclosure form is incorporated by reference and shall be signed separately as required by Arizona Department of Real Estate (ADRE).</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Arizona real estate law including Arizona Department of Real Estate (ADRE). State-licensed real estate brokers may have additional mandatory provisions specific to Arizona.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