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California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California law:</w:t>
      </w:r>
    </w:p>
    <w:p>
      <w:r>
        <w:t>(a) California TDS (Transfer Disclosure Statement) Civil Code §1102 — mandatory;</w:t>
      </w:r>
    </w:p>
    <w:p>
      <w:r>
        <w:t>(b) Lead-Based Paint Disclosure (federal — for properties built before 1978);</w:t>
      </w:r>
    </w:p>
    <w:p>
      <w:r>
        <w:t>(c) HOA documents (if applicable);</w:t>
      </w:r>
    </w:p>
    <w:p>
      <w:r>
        <w:t>(d) Material defect disclosures known to Seller;</w:t>
      </w:r>
    </w:p>
    <w:p>
      <w:r>
        <w:t>(e) Other disclosures required by California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California agency disclosure form is incorporated by reference and shall be signed separately as required by California Bureau of Real Estate (CalBRE) regulations.</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California real estate law including California Bureau of Real Estate (CalBRE) regulations. State-licensed real estate brokers may have additional mandatory provisions specific to California.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