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DELAWARE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Delaware</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Delaware law:</w:t>
      </w:r>
    </w:p>
    <w:p>
      <w:r>
        <w:t>(a) Delaware Code Title 6 §2572 — Seller's Disclosure of Real Property Condition;</w:t>
      </w:r>
    </w:p>
    <w:p>
      <w:r>
        <w:t>(b) Lead-Based Paint Disclosure (federal — for properties built before 1978);</w:t>
      </w:r>
    </w:p>
    <w:p>
      <w:r>
        <w:t>(c) HOA documents (if applicable);</w:t>
      </w:r>
    </w:p>
    <w:p>
      <w:r>
        <w:t>(d) Material defect disclosures known to Seller;</w:t>
      </w:r>
    </w:p>
    <w:p>
      <w:r>
        <w:t>(e) Other disclosures required by Delaware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Delaware agency disclosure form is incorporated by reference and shall be signed separately as required by Delaware Real Estate Commission (DREC).</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Delaware real estate law including Delaware Real Estate Commission (DREC). State-licensed real estate brokers may have additional mandatory provisions specific to Delaware.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