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FLORIDA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Florida</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Florida law:</w:t>
      </w:r>
    </w:p>
    <w:p>
      <w:r>
        <w:t>(a) Florida Statutes §689.25 — Coastal Construction Control Line + Johnson v. Davis duty to disclose material defects;</w:t>
      </w:r>
    </w:p>
    <w:p>
      <w:r>
        <w:t>(b) Lead-Based Paint Disclosure (federal — for properties built before 1978);</w:t>
      </w:r>
    </w:p>
    <w:p>
      <w:r>
        <w:t>(c) HOA documents (if applicable);</w:t>
      </w:r>
    </w:p>
    <w:p>
      <w:r>
        <w:t>(d) Material defect disclosures known to Seller;</w:t>
      </w:r>
    </w:p>
    <w:p>
      <w:r>
        <w:t>(e) Other disclosures required by Florida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Florida agency disclosure form is incorporated by reference and shall be signed separately as required by Florida Real Estate Commission (FREC), DBPR Chapter 475.</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Florida real estate law including Florida Real Estate Commission (FREC), DBPR Chapter 475. State-licensed real estate brokers may have additional mandatory provisions specific to Florida.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