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GEORGIA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Georgia</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Georgia law:</w:t>
      </w:r>
    </w:p>
    <w:p>
      <w:r>
        <w:t>(a) GA caveat emptor jurisdiction — sellers disclose known material defects (limited statutory mandate);</w:t>
      </w:r>
    </w:p>
    <w:p>
      <w:r>
        <w:t>(b) Lead-Based Paint Disclosure (federal — for properties built before 1978);</w:t>
      </w:r>
    </w:p>
    <w:p>
      <w:r>
        <w:t>(c) HOA documents (if applicable);</w:t>
      </w:r>
    </w:p>
    <w:p>
      <w:r>
        <w:t>(d) Material defect disclosures known to Seller;</w:t>
      </w:r>
    </w:p>
    <w:p>
      <w:r>
        <w:t>(e) Other disclosures required by Georgia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Georgia agency disclosure form is incorporated by reference and shall be signed separately as required by Georgia Real Estate Commission (GREC).</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Georgia real estate law including Georgia Real Estate Commission (GREC). State-licensed real estate brokers may have additional mandatory provisions specific to Georgia.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